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2" w:rsidRPr="00FC25FF" w:rsidRDefault="00FC25FF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FC25FF">
        <w:t>Экосистема кросс-многомерности: многомерные траектории в цифровой среде</w:t>
      </w:r>
    </w:p>
    <w:p w:rsidR="005E266B" w:rsidRPr="00FC25FF" w:rsidRDefault="00FC25FF" w:rsidP="005E266B">
      <w:pPr>
        <w:pStyle w:val="za"/>
      </w:pPr>
      <w:r>
        <w:t xml:space="preserve">Елистратова К.А., </w:t>
      </w:r>
      <w:r>
        <w:rPr>
          <w:lang w:val="en-US"/>
        </w:rPr>
        <w:t>xenos</w:t>
      </w:r>
      <w:r w:rsidRPr="00FC25FF">
        <w:t>88@</w:t>
      </w:r>
      <w:r>
        <w:rPr>
          <w:lang w:val="en-US"/>
        </w:rPr>
        <w:t>mail</w:t>
      </w:r>
      <w:r w:rsidRPr="00FC25FF">
        <w:t>.</w:t>
      </w:r>
      <w:r>
        <w:rPr>
          <w:lang w:val="en-US"/>
        </w:rPr>
        <w:t>ru</w:t>
      </w:r>
    </w:p>
    <w:bookmarkEnd w:id="0"/>
    <w:p w:rsidR="00FC25FF" w:rsidRPr="00FC25FF" w:rsidRDefault="00FC25FF" w:rsidP="00FC25FF">
      <w:pPr>
        <w:pStyle w:val="zorg"/>
      </w:pPr>
      <w:r>
        <w:t>ГБУ ДПО Санкт-Петербургская академия постдипломного педагогического образования имени К.Д. Ушинского, г. Санкт-Петербург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FC25FF" w:rsidP="00CA065C">
      <w:pPr>
        <w:pStyle w:val="base6"/>
      </w:pPr>
      <w:r>
        <w:t>В настоящем исследовании</w:t>
      </w:r>
      <w:r w:rsidRPr="00FC25FF">
        <w:t xml:space="preserve"> рассматривается экосистема кросс-многомерного образовательного процесса, в рамках которой образовательная среда школы пересекается с цифровым, культурным, социальным и технологическим пространствами. Предлагается модель многомерных траекторий обучения, интегрирующих формальное и неформальное образование, урочную и внеурочную деятельность, индивидуальные и коллективные форматы работы. Цифровая среда выступает не просто инструментом, а полноценным пространством, генерирующим новые образовательные возможности. Обосновывается, что эффективность многомерных траекторий достигается за счёт осознанного управления переходами между разными средами.</w:t>
      </w:r>
    </w:p>
    <w:p w:rsidR="00FC25FF" w:rsidRDefault="00FC25FF" w:rsidP="00A4271E">
      <w:pPr>
        <w:pStyle w:val="base6"/>
        <w:contextualSpacing/>
      </w:pPr>
      <w:r>
        <w:t>Цифровая трансформация образования не сводится к внедрению гаджетов и платформ. Она меняет саму онтологию образовательного процесса: урок перестаёт быть событием, ограниченным классной комнатой и учебником. Возникает экосистема кросс-многомерности — сложная, открытая, самоорганизующаяся система, в которой образовательная среда школы пересекается и взаимодействует с множеством других пространств и сред (цифровой, культурно-исторической, социальной, технологи</w:t>
      </w:r>
      <w:r>
        <w:t>ческой, аксиологической и др.).</w:t>
      </w:r>
      <w:r>
        <w:t>Ключевые характеристики экосистемы кросс-многомерности представлены в таблице.</w:t>
      </w:r>
    </w:p>
    <w:p w:rsidR="00FC25FF" w:rsidRDefault="00FC25FF" w:rsidP="00A4271E">
      <w:pPr>
        <w:pStyle w:val="base6"/>
        <w:contextualSpacing/>
        <w:jc w:val="right"/>
      </w:pPr>
      <w:r>
        <w:t>Таблица 1.</w:t>
      </w:r>
    </w:p>
    <w:p w:rsidR="00FC25FF" w:rsidRDefault="00FC25FF" w:rsidP="00A4271E">
      <w:pPr>
        <w:pStyle w:val="base6"/>
        <w:contextualSpacing/>
        <w:jc w:val="left"/>
      </w:pPr>
      <w:r>
        <w:t xml:space="preserve">              </w:t>
      </w:r>
      <w:r w:rsidRPr="00FC25FF">
        <w:t>Ключевые характеристики экосистемы кросс-многомерности</w:t>
      </w:r>
    </w:p>
    <w:tbl>
      <w:tblPr>
        <w:tblStyle w:val="afffff9"/>
        <w:tblW w:w="0" w:type="auto"/>
        <w:tblLook w:val="04A0" w:firstRow="1" w:lastRow="0" w:firstColumn="1" w:lastColumn="0" w:noHBand="0" w:noVBand="1"/>
      </w:tblPr>
      <w:tblGrid>
        <w:gridCol w:w="1953"/>
        <w:gridCol w:w="4624"/>
      </w:tblGrid>
      <w:tr w:rsidR="00FC25FF" w:rsidRPr="00FC25FF" w:rsidTr="00FC25FF">
        <w:tc>
          <w:tcPr>
            <w:tcW w:w="0" w:type="auto"/>
            <w:hideMark/>
          </w:tcPr>
          <w:p w:rsidR="00FC25FF" w:rsidRPr="00FC25FF" w:rsidRDefault="00FC25FF" w:rsidP="00FC25FF">
            <w:pPr>
              <w:spacing w:line="375" w:lineRule="atLeast"/>
              <w:rPr>
                <w:color w:val="0F1115"/>
                <w:sz w:val="16"/>
                <w:szCs w:val="16"/>
              </w:rPr>
            </w:pPr>
            <w:r w:rsidRPr="00FC25FF">
              <w:rPr>
                <w:color w:val="0F1115"/>
                <w:sz w:val="16"/>
                <w:szCs w:val="16"/>
              </w:rPr>
              <w:t>Характеристика</w:t>
            </w:r>
          </w:p>
        </w:tc>
        <w:tc>
          <w:tcPr>
            <w:tcW w:w="0" w:type="auto"/>
            <w:hideMark/>
          </w:tcPr>
          <w:p w:rsidR="00FC25FF" w:rsidRPr="00FC25FF" w:rsidRDefault="00FC25FF" w:rsidP="00FC25FF">
            <w:pPr>
              <w:spacing w:line="375" w:lineRule="atLeast"/>
              <w:rPr>
                <w:color w:val="0F1115"/>
                <w:sz w:val="16"/>
                <w:szCs w:val="16"/>
              </w:rPr>
            </w:pPr>
            <w:r w:rsidRPr="00FC25FF">
              <w:rPr>
                <w:color w:val="0F1115"/>
                <w:sz w:val="16"/>
                <w:szCs w:val="16"/>
              </w:rPr>
              <w:t>Содержание</w:t>
            </w:r>
          </w:p>
        </w:tc>
      </w:tr>
      <w:tr w:rsidR="00FC25FF" w:rsidRPr="00FC25FF" w:rsidTr="00FC25FF">
        <w:trPr>
          <w:trHeight w:val="427"/>
        </w:trPr>
        <w:tc>
          <w:tcPr>
            <w:tcW w:w="0" w:type="auto"/>
            <w:hideMark/>
          </w:tcPr>
          <w:p w:rsidR="00FC25FF" w:rsidRPr="00FC25FF" w:rsidRDefault="00FC25FF" w:rsidP="00FC25FF">
            <w:pPr>
              <w:spacing w:line="375" w:lineRule="atLeast"/>
              <w:rPr>
                <w:color w:val="0F1115"/>
                <w:sz w:val="16"/>
                <w:szCs w:val="16"/>
              </w:rPr>
            </w:pPr>
            <w:r w:rsidRPr="00FC25FF">
              <w:rPr>
                <w:bCs/>
                <w:color w:val="0F1115"/>
                <w:sz w:val="16"/>
                <w:szCs w:val="16"/>
              </w:rPr>
              <w:t>Полипространственность</w:t>
            </w:r>
          </w:p>
        </w:tc>
        <w:tc>
          <w:tcPr>
            <w:tcW w:w="0" w:type="auto"/>
            <w:hideMark/>
          </w:tcPr>
          <w:p w:rsidR="00FC25FF" w:rsidRPr="00FC25FF" w:rsidRDefault="00FC25FF" w:rsidP="00FC25FF">
            <w:pPr>
              <w:spacing w:line="375" w:lineRule="atLeast"/>
              <w:rPr>
                <w:color w:val="0F1115"/>
                <w:sz w:val="16"/>
                <w:szCs w:val="16"/>
              </w:rPr>
            </w:pPr>
            <w:r w:rsidRPr="00FC25FF">
              <w:rPr>
                <w:color w:val="0F1115"/>
                <w:sz w:val="16"/>
                <w:szCs w:val="16"/>
              </w:rPr>
              <w:t>Одновременное использование нескольких пространств и сред</w:t>
            </w:r>
          </w:p>
        </w:tc>
      </w:tr>
      <w:tr w:rsidR="00FC25FF" w:rsidRPr="00FC25FF" w:rsidTr="00FC25FF">
        <w:tc>
          <w:tcPr>
            <w:tcW w:w="0" w:type="auto"/>
            <w:hideMark/>
          </w:tcPr>
          <w:p w:rsidR="00FC25FF" w:rsidRPr="00FC25FF" w:rsidRDefault="00FC25FF" w:rsidP="00FC25FF">
            <w:pPr>
              <w:spacing w:line="375" w:lineRule="atLeast"/>
              <w:rPr>
                <w:color w:val="0F1115"/>
                <w:sz w:val="16"/>
                <w:szCs w:val="16"/>
              </w:rPr>
            </w:pPr>
            <w:r w:rsidRPr="00FC25FF">
              <w:rPr>
                <w:bCs/>
                <w:color w:val="0F1115"/>
                <w:sz w:val="16"/>
                <w:szCs w:val="16"/>
              </w:rPr>
              <w:t>Непрерывность</w:t>
            </w:r>
          </w:p>
        </w:tc>
        <w:tc>
          <w:tcPr>
            <w:tcW w:w="0" w:type="auto"/>
            <w:hideMark/>
          </w:tcPr>
          <w:p w:rsidR="00FC25FF" w:rsidRPr="00FC25FF" w:rsidRDefault="00FC25FF" w:rsidP="00FC25FF">
            <w:pPr>
              <w:spacing w:line="375" w:lineRule="atLeast"/>
              <w:rPr>
                <w:color w:val="0F1115"/>
                <w:sz w:val="16"/>
                <w:szCs w:val="16"/>
              </w:rPr>
            </w:pPr>
            <w:r w:rsidRPr="00FC25FF">
              <w:rPr>
                <w:color w:val="0F1115"/>
                <w:sz w:val="16"/>
                <w:szCs w:val="16"/>
              </w:rPr>
              <w:t>Учебная деятельность выходит за хронологические рамки урока</w:t>
            </w:r>
          </w:p>
        </w:tc>
      </w:tr>
      <w:tr w:rsidR="00FC25FF" w:rsidRPr="00FC25FF" w:rsidTr="00FC25FF">
        <w:tc>
          <w:tcPr>
            <w:tcW w:w="0" w:type="auto"/>
            <w:hideMark/>
          </w:tcPr>
          <w:p w:rsidR="00FC25FF" w:rsidRPr="00FC25FF" w:rsidRDefault="00FC25FF" w:rsidP="00FC25FF">
            <w:pPr>
              <w:spacing w:line="375" w:lineRule="atLeast"/>
              <w:rPr>
                <w:color w:val="0F1115"/>
                <w:sz w:val="16"/>
                <w:szCs w:val="16"/>
              </w:rPr>
            </w:pPr>
            <w:r w:rsidRPr="00FC25FF">
              <w:rPr>
                <w:bCs/>
                <w:color w:val="0F1115"/>
                <w:sz w:val="16"/>
                <w:szCs w:val="16"/>
              </w:rPr>
              <w:t>Адаптивность</w:t>
            </w:r>
          </w:p>
        </w:tc>
        <w:tc>
          <w:tcPr>
            <w:tcW w:w="0" w:type="auto"/>
            <w:hideMark/>
          </w:tcPr>
          <w:p w:rsidR="00FC25FF" w:rsidRPr="00FC25FF" w:rsidRDefault="00FC25FF" w:rsidP="00FC25FF">
            <w:pPr>
              <w:spacing w:line="375" w:lineRule="atLeast"/>
              <w:rPr>
                <w:color w:val="0F1115"/>
                <w:sz w:val="16"/>
                <w:szCs w:val="16"/>
              </w:rPr>
            </w:pPr>
            <w:r w:rsidRPr="00FC25FF">
              <w:rPr>
                <w:color w:val="0F1115"/>
                <w:sz w:val="16"/>
                <w:szCs w:val="16"/>
              </w:rPr>
              <w:t>Траектория подстраивается под индивидуальные особенности</w:t>
            </w:r>
          </w:p>
        </w:tc>
      </w:tr>
      <w:tr w:rsidR="00FC25FF" w:rsidRPr="00FC25FF" w:rsidTr="00FC25FF">
        <w:tc>
          <w:tcPr>
            <w:tcW w:w="0" w:type="auto"/>
            <w:hideMark/>
          </w:tcPr>
          <w:p w:rsidR="00FC25FF" w:rsidRPr="00FC25FF" w:rsidRDefault="00FC25FF" w:rsidP="00A4271E">
            <w:pPr>
              <w:contextualSpacing/>
              <w:rPr>
                <w:color w:val="0F1115"/>
                <w:sz w:val="16"/>
                <w:szCs w:val="16"/>
              </w:rPr>
            </w:pPr>
            <w:r w:rsidRPr="00FC25FF">
              <w:rPr>
                <w:bCs/>
                <w:color w:val="0F1115"/>
                <w:sz w:val="16"/>
                <w:szCs w:val="16"/>
              </w:rPr>
              <w:t>Сетевой характер</w:t>
            </w:r>
          </w:p>
        </w:tc>
        <w:tc>
          <w:tcPr>
            <w:tcW w:w="0" w:type="auto"/>
            <w:hideMark/>
          </w:tcPr>
          <w:p w:rsidR="00FC25FF" w:rsidRPr="00FC25FF" w:rsidRDefault="00FC25FF" w:rsidP="00A4271E">
            <w:pPr>
              <w:contextualSpacing/>
              <w:rPr>
                <w:color w:val="0F1115"/>
                <w:sz w:val="16"/>
                <w:szCs w:val="16"/>
              </w:rPr>
            </w:pPr>
            <w:r w:rsidRPr="00FC25FF">
              <w:rPr>
                <w:color w:val="0F1115"/>
                <w:sz w:val="16"/>
                <w:szCs w:val="16"/>
              </w:rPr>
              <w:t>Горизонтальные связи между участниками и организациями</w:t>
            </w:r>
          </w:p>
        </w:tc>
      </w:tr>
    </w:tbl>
    <w:p w:rsidR="00FC25FF" w:rsidRDefault="00FC25FF" w:rsidP="00A4271E">
      <w:pPr>
        <w:pStyle w:val="base6"/>
        <w:contextualSpacing/>
        <w:jc w:val="left"/>
      </w:pPr>
    </w:p>
    <w:p w:rsidR="00FC25FF" w:rsidRDefault="00FC25FF" w:rsidP="00A4271E">
      <w:pPr>
        <w:pStyle w:val="base6"/>
        <w:contextualSpacing/>
        <w:jc w:val="left"/>
      </w:pPr>
      <w:r w:rsidRPr="00FC25FF">
        <w:t>Эта экосистема — не сумма инструментов, а качественно новая реальность, требующая пересмотра подходов к проектированию образовательного процесса.</w:t>
      </w:r>
    </w:p>
    <w:p w:rsidR="00FC25FF" w:rsidRDefault="00FC25FF" w:rsidP="00A4271E">
      <w:pPr>
        <w:pStyle w:val="base6"/>
        <w:contextualSpacing/>
      </w:pPr>
      <w:r>
        <w:t>Многомерная траектория — это индивидуальный маршрут обучающегося, проходящий через разные пространства и среды, объединяющий формальные и неформальные форматы, синхронное и асинхронное взаимодействие, инд</w:t>
      </w:r>
      <w:r>
        <w:t>ивидуальную и групповую работу.</w:t>
      </w:r>
    </w:p>
    <w:p w:rsidR="00A4271E" w:rsidRDefault="00FC25FF" w:rsidP="00A4271E">
      <w:pPr>
        <w:pStyle w:val="base6"/>
        <w:contextualSpacing/>
      </w:pPr>
      <w:r>
        <w:t>Традиционная траектория линейна: «тема → правило → упражнение → контроль». Многомерная траектория вариативна и нелинейна. Она предполагает выбор (ученик сам определяет последовательность и способы работы) и переходы между средами (из физического класса в цифровую лабораторию, из индивидуальной работы в групповой проект). Именно эти переходы формируют гибкость мышления и универсальные компетенции.</w:t>
      </w:r>
    </w:p>
    <w:p w:rsidR="009F77A4" w:rsidRDefault="009F77A4" w:rsidP="00A4271E">
      <w:pPr>
        <w:pStyle w:val="base6"/>
        <w:contextualSpacing/>
      </w:pPr>
      <w:r w:rsidRPr="009F77A4">
        <w:t>Структура многомерной траектории включает следующие компоненты:</w:t>
      </w:r>
      <w:r>
        <w:t xml:space="preserve"> ядро     → обязательное содержание (ФГОС, ФООП), варианты</w:t>
      </w:r>
      <w:r>
        <w:t xml:space="preserve">  → выбор способа, темпа</w:t>
      </w:r>
      <w:r w:rsidR="00A4271E">
        <w:t>, формы отче</w:t>
      </w:r>
      <w:r>
        <w:t>та,              переходы</w:t>
      </w:r>
      <w:r>
        <w:t xml:space="preserve">  → перемещение между р</w:t>
      </w:r>
      <w:r>
        <w:t>азными средами, точки</w:t>
      </w:r>
      <w:r>
        <w:t xml:space="preserve">     → остановки для рефле</w:t>
      </w:r>
      <w:r>
        <w:t>ксии и коррекции, ресурсы</w:t>
      </w:r>
      <w:r>
        <w:t xml:space="preserve">   → цифровые инструменты, партнёрские сети</w:t>
      </w:r>
      <w:r>
        <w:t>.</w:t>
      </w:r>
    </w:p>
    <w:p w:rsidR="009F77A4" w:rsidRDefault="009F77A4" w:rsidP="00A4271E">
      <w:pPr>
        <w:pStyle w:val="base6"/>
        <w:contextualSpacing/>
      </w:pPr>
      <w:r w:rsidRPr="009F77A4">
        <w:t>Практическая реализация многомерной траектории требует от учителя пе</w:t>
      </w:r>
      <w:r w:rsidR="00A4271E">
        <w:t>рехода от же</w:t>
      </w:r>
      <w:r w:rsidRPr="009F77A4">
        <w:t>сткого сценария к проектированию «карты возможностей».</w:t>
      </w:r>
    </w:p>
    <w:p w:rsidR="009F77A4" w:rsidRDefault="009F77A4" w:rsidP="00A4271E">
      <w:pPr>
        <w:pStyle w:val="base6"/>
        <w:contextualSpacing/>
      </w:pPr>
      <w:r w:rsidRPr="009F77A4">
        <w:lastRenderedPageBreak/>
        <w:t>Цифровая среда в экосистеме кросс-многомерности выполняет не инструментальную, а средообразующую функцию. Она не просто предоставляет ресурсы, а создаёт пространство, где возможны новые типы деятельности.</w:t>
      </w:r>
    </w:p>
    <w:p w:rsidR="009F77A4" w:rsidRDefault="009F77A4" w:rsidP="00A4271E">
      <w:pPr>
        <w:pStyle w:val="base6"/>
        <w:contextualSpacing/>
      </w:pPr>
      <w:r w:rsidRPr="009F77A4">
        <w:t>Функции цифровой среды в многомерной траектории</w:t>
      </w:r>
      <w:r>
        <w:t>: фиксация (с</w:t>
      </w:r>
      <w:r w:rsidRPr="009F77A4">
        <w:t>охранение промежуточных результатов, возможность вернуться</w:t>
      </w:r>
      <w:r>
        <w:t>), навигация (в</w:t>
      </w:r>
      <w:r w:rsidRPr="009F77A4">
        <w:t>изуализация маршрута, индикаторы прогресса</w:t>
      </w:r>
      <w:r>
        <w:t>), коммуникация (а</w:t>
      </w:r>
      <w:r w:rsidRPr="009F77A4">
        <w:t>синхронное обсуждение, взаимопомощь, обратная связь</w:t>
      </w:r>
      <w:r>
        <w:t>), аналитика (с</w:t>
      </w:r>
      <w:r w:rsidRPr="009F77A4">
        <w:t>бор данных о процессе и результатах</w:t>
      </w:r>
      <w:r>
        <w:t>), адаптация (п</w:t>
      </w:r>
      <w:r w:rsidRPr="009F77A4">
        <w:t>одбор следующего задания на основе предыдущих ответов</w:t>
      </w:r>
      <w:r>
        <w:t>).</w:t>
      </w:r>
    </w:p>
    <w:p w:rsidR="009F77A4" w:rsidRDefault="009F77A4" w:rsidP="00A4271E">
      <w:pPr>
        <w:pStyle w:val="base6"/>
        <w:contextualSpacing/>
      </w:pPr>
      <w:r>
        <w:t>Цифровая среда не заменяет учителя, а расширяет е</w:t>
      </w:r>
      <w:r w:rsidR="00A4271E">
        <w:t>го возможности. Учитель перестае</w:t>
      </w:r>
      <w:r>
        <w:t>т быть единственным источником знаний и становится навигатором, фасилитатором, проектиро</w:t>
      </w:r>
      <w:r>
        <w:t xml:space="preserve">вщиком переходов между средами. Важно подчеркнуть, </w:t>
      </w:r>
      <w:r>
        <w:t>цифровая среда работает э</w:t>
      </w:r>
      <w:r w:rsidR="00A4271E">
        <w:t>ффективно только тогда, когда ее</w:t>
      </w:r>
      <w:bookmarkStart w:id="10" w:name="_GoBack"/>
      <w:bookmarkEnd w:id="10"/>
      <w:r>
        <w:t xml:space="preserve"> использование педагогически обосновано. Инструмент не самоцель, а средство достижения конкретного образовательного результата.</w:t>
      </w:r>
    </w:p>
    <w:p w:rsidR="009F77A4" w:rsidRDefault="009F77A4" w:rsidP="00A4271E">
      <w:pPr>
        <w:pStyle w:val="base6"/>
        <w:contextualSpacing/>
      </w:pPr>
      <w:r w:rsidRPr="009F77A4">
        <w:t>Управление многомерными траекториями в цифровой среде требует отказа от избыточной унификации. Единым остаётся лишь содержательное ядро, а формы, темпы и способы освоения могут варьироваться.</w:t>
      </w:r>
      <w:r>
        <w:t xml:space="preserve"> Основные принципы управления: п</w:t>
      </w:r>
      <w:r w:rsidRPr="009F77A4">
        <w:t>олиперспективность — одна учебная задача решается через разные предмет</w:t>
      </w:r>
      <w:r>
        <w:t>ные и культурные «оптики»; р</w:t>
      </w:r>
      <w:r w:rsidRPr="009F77A4">
        <w:t>едундантность — избыточность средств и форм делает систему устойчивой к сбоям (один инструмент п</w:t>
      </w:r>
      <w:r>
        <w:t>ерестал работать — есть другой); т</w:t>
      </w:r>
      <w:r w:rsidRPr="009F77A4">
        <w:t>рансверсальность — создание связей между разными «мирами» обучающегося (школа — дом — хобби — цифровая среда).</w:t>
      </w:r>
    </w:p>
    <w:p w:rsidR="009F77A4" w:rsidRDefault="009F77A4" w:rsidP="00A4271E">
      <w:pPr>
        <w:pStyle w:val="base6"/>
        <w:contextualSpacing/>
      </w:pPr>
      <w:r w:rsidRPr="009F77A4">
        <w:t>Сквозные компетенции не формируются автоматически. Они требуют специально спроектированной деятельности, предполагающей перенос знаний из одной ситуации в другую, работу в разных форматах и осознанные переходы между средами.</w:t>
      </w:r>
    </w:p>
    <w:p w:rsidR="009F77A4" w:rsidRDefault="009F77A4" w:rsidP="00A4271E">
      <w:pPr>
        <w:pStyle w:val="base6"/>
        <w:contextualSpacing/>
      </w:pPr>
      <w:r>
        <w:t xml:space="preserve">Перечень компетенций, которые </w:t>
      </w:r>
      <w:r w:rsidRPr="009F77A4">
        <w:t xml:space="preserve"> развивают</w:t>
      </w:r>
      <w:r>
        <w:t xml:space="preserve">ся через многомерные траектории: </w:t>
      </w:r>
    </w:p>
    <w:p w:rsidR="009F77A4" w:rsidRDefault="009F77A4" w:rsidP="00A4271E">
      <w:pPr>
        <w:pStyle w:val="base6"/>
        <w:numPr>
          <w:ilvl w:val="0"/>
          <w:numId w:val="29"/>
        </w:numPr>
        <w:contextualSpacing/>
      </w:pPr>
      <w:r>
        <w:t>функциональная грамотность (р</w:t>
      </w:r>
      <w:r w:rsidRPr="009F77A4">
        <w:t>абота с аутентичными текстами из реальной жизни</w:t>
      </w:r>
      <w:r>
        <w:t>);</w:t>
      </w:r>
    </w:p>
    <w:p w:rsidR="009F77A4" w:rsidRDefault="009F77A4" w:rsidP="00A4271E">
      <w:pPr>
        <w:pStyle w:val="base6"/>
        <w:numPr>
          <w:ilvl w:val="0"/>
          <w:numId w:val="29"/>
        </w:numPr>
        <w:contextualSpacing/>
      </w:pPr>
      <w:r>
        <w:t>критическое мышление (в</w:t>
      </w:r>
      <w:r w:rsidRPr="009F77A4">
        <w:t>ыявление ошибок в информации из разных источников</w:t>
      </w:r>
      <w:r>
        <w:t>);</w:t>
      </w:r>
    </w:p>
    <w:p w:rsidR="009F77A4" w:rsidRDefault="009F77A4" w:rsidP="00A4271E">
      <w:pPr>
        <w:pStyle w:val="base6"/>
        <w:numPr>
          <w:ilvl w:val="0"/>
          <w:numId w:val="29"/>
        </w:numPr>
        <w:contextualSpacing/>
      </w:pPr>
      <w:r>
        <w:t>самоорганизация (в</w:t>
      </w:r>
      <w:r w:rsidRPr="009F77A4">
        <w:t>ыбор траектории, планирование, самопроверка</w:t>
      </w:r>
      <w:r>
        <w:t>);</w:t>
      </w:r>
    </w:p>
    <w:p w:rsidR="009F77A4" w:rsidRDefault="009F77A4" w:rsidP="00A4271E">
      <w:pPr>
        <w:pStyle w:val="base6"/>
        <w:numPr>
          <w:ilvl w:val="0"/>
          <w:numId w:val="29"/>
        </w:numPr>
        <w:contextualSpacing/>
      </w:pPr>
      <w:r>
        <w:t>коммуникация (с</w:t>
      </w:r>
      <w:r w:rsidRPr="009F77A4">
        <w:t>овместная работа в цифровой среде, аргументация</w:t>
      </w:r>
      <w:r>
        <w:t>);</w:t>
      </w:r>
    </w:p>
    <w:p w:rsidR="009F77A4" w:rsidRDefault="009F77A4" w:rsidP="00A4271E">
      <w:pPr>
        <w:pStyle w:val="base6"/>
        <w:numPr>
          <w:ilvl w:val="0"/>
          <w:numId w:val="29"/>
        </w:numPr>
        <w:contextualSpacing/>
      </w:pPr>
      <w:r>
        <w:t>цифровая грамотность (о</w:t>
      </w:r>
      <w:r w:rsidRPr="009F77A4">
        <w:t>сознанный выбор цифровых инструментов под задачу</w:t>
      </w:r>
      <w:r>
        <w:t>).</w:t>
      </w:r>
    </w:p>
    <w:p w:rsidR="009F77A4" w:rsidRDefault="009F77A4" w:rsidP="00A4271E">
      <w:pPr>
        <w:pStyle w:val="base6"/>
        <w:contextualSpacing/>
      </w:pPr>
      <w:r w:rsidRPr="009F77A4">
        <w:t>Эффективность формирования компетенций обеспечивается тремя условиями: осознанность (ученик понимает, зачем он переходит из среды в среду), рефлексия (ученик оценивает свой прогресс) и системность (многомерные траектории не эпизод, а принцип).</w:t>
      </w:r>
    </w:p>
    <w:p w:rsidR="00A4271E" w:rsidRDefault="00A4271E" w:rsidP="00A4271E">
      <w:pPr>
        <w:pStyle w:val="base6"/>
        <w:contextualSpacing/>
      </w:pPr>
      <w:r>
        <w:t>Экосистема кросс-многомерности — это не метафора, а работающая модель организации образовательного процесса в цифровую эпоху. Многомерные траектории позволяют сочетать обязательно</w:t>
      </w:r>
      <w:r>
        <w:t>е содержание с персонализацией. Ц</w:t>
      </w:r>
      <w:r>
        <w:t>ифровая среда в этой модели выступает полноценным пространством, в котором разворачивается образовательная деятельность.</w:t>
      </w:r>
    </w:p>
    <w:p w:rsidR="00A4271E" w:rsidRDefault="00A4271E" w:rsidP="00A4271E">
      <w:pPr>
        <w:pStyle w:val="base6"/>
        <w:contextualSpacing/>
      </w:pPr>
      <w:r>
        <w:t>Ключевые условия эффективности: отказ от избыточной унификации, развитие новых ролей учителя (навигатор, фасилитатор, проектировщик переходов) и целенаправленное формирование сквозных компетенций через осознанные переходы между средами.</w:t>
      </w:r>
    </w:p>
    <w:p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  <w:r w:rsidR="00A4271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A4271E" w:rsidRDefault="00A4271E" w:rsidP="00A4271E">
      <w:pPr>
        <w:pStyle w:val="litera"/>
        <w:numPr>
          <w:ilvl w:val="0"/>
          <w:numId w:val="20"/>
        </w:numPr>
        <w:rPr>
          <w:szCs w:val="20"/>
        </w:rPr>
      </w:pPr>
      <w:r w:rsidRPr="00A4271E">
        <w:rPr>
          <w:szCs w:val="20"/>
        </w:rPr>
        <w:t>Елистратова К.А., Панасюк В.П. Образовательный процесс в школе: кросс-многомерная реальность. СПб.: Астерион, 2021. 120 с.</w:t>
      </w:r>
    </w:p>
    <w:p w:rsidR="00A4271E" w:rsidRDefault="00A4271E" w:rsidP="00A4271E">
      <w:pPr>
        <w:pStyle w:val="litera"/>
        <w:numPr>
          <w:ilvl w:val="0"/>
          <w:numId w:val="20"/>
        </w:numPr>
        <w:rPr>
          <w:szCs w:val="20"/>
        </w:rPr>
      </w:pPr>
      <w:r w:rsidRPr="00A4271E">
        <w:rPr>
          <w:szCs w:val="20"/>
        </w:rPr>
        <w:t>Поберезкая В.Ф. Методологическое обоснование многомерного подхода в образовании // Концепт. 2026. № 3. С. 356–374.</w:t>
      </w:r>
    </w:p>
    <w:p w:rsidR="00A4271E" w:rsidRDefault="00A4271E" w:rsidP="00A4271E">
      <w:pPr>
        <w:pStyle w:val="litera"/>
        <w:numPr>
          <w:ilvl w:val="0"/>
          <w:numId w:val="20"/>
        </w:numPr>
        <w:rPr>
          <w:szCs w:val="20"/>
        </w:rPr>
      </w:pPr>
      <w:r w:rsidRPr="00A4271E">
        <w:rPr>
          <w:szCs w:val="20"/>
          <w:lang w:val="en-US"/>
        </w:rPr>
        <w:t xml:space="preserve">Tondeur J., Howard S., Carvalho A.A., et al. The DTALE Model: Designing Digital and Physical Spaces for Integrated Learning Environments // Technology, Knowledge and Learning. </w:t>
      </w:r>
      <w:r w:rsidRPr="00A4271E">
        <w:rPr>
          <w:szCs w:val="20"/>
        </w:rPr>
        <w:t>2024. Vol. 29. No. 4. P. 1767–1789.</w:t>
      </w:r>
    </w:p>
    <w:p w:rsidR="00A4271E" w:rsidRDefault="00A4271E" w:rsidP="00A4271E">
      <w:pPr>
        <w:pStyle w:val="litera"/>
        <w:numPr>
          <w:ilvl w:val="0"/>
          <w:numId w:val="20"/>
        </w:numPr>
        <w:rPr>
          <w:szCs w:val="20"/>
        </w:rPr>
      </w:pPr>
      <w:r w:rsidRPr="00A4271E">
        <w:rPr>
          <w:szCs w:val="20"/>
          <w:lang w:val="en-US"/>
        </w:rPr>
        <w:t>Fullan M., Langworthy M. A Rich Seam: How New Pedagogies Find Deep Learning. London: Pearson, 2014. 105 p.</w:t>
      </w:r>
    </w:p>
    <w:p w:rsidR="003E5DC7" w:rsidRPr="00A4271E" w:rsidRDefault="00A4271E" w:rsidP="00A4271E">
      <w:pPr>
        <w:pStyle w:val="litera"/>
        <w:numPr>
          <w:ilvl w:val="0"/>
          <w:numId w:val="20"/>
        </w:numPr>
        <w:rPr>
          <w:szCs w:val="20"/>
        </w:rPr>
      </w:pPr>
      <w:r w:rsidRPr="00A4271E">
        <w:rPr>
          <w:szCs w:val="20"/>
        </w:rPr>
        <w:t>Вайндорф-Сысоева М.Е., Субочева М.Л. Образовательная экосистема: терминологический аспект // Профессиональное образование в России и за рубежом. 2021. № 4 (44). С. 5–11.</w:t>
      </w:r>
    </w:p>
    <w:sectPr w:rsidR="003E5DC7" w:rsidRPr="00A4271E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1E" w:rsidRDefault="00BF551E">
      <w:r>
        <w:separator/>
      </w:r>
    </w:p>
    <w:p w:rsidR="00BF551E" w:rsidRDefault="00BF551E"/>
    <w:p w:rsidR="00BF551E" w:rsidRDefault="00BF551E"/>
    <w:p w:rsidR="00BF551E" w:rsidRDefault="00BF551E"/>
  </w:endnote>
  <w:endnote w:type="continuationSeparator" w:id="0">
    <w:p w:rsidR="00BF551E" w:rsidRDefault="00BF551E">
      <w:r>
        <w:continuationSeparator/>
      </w:r>
    </w:p>
    <w:p w:rsidR="00BF551E" w:rsidRDefault="00BF551E"/>
    <w:p w:rsidR="00BF551E" w:rsidRDefault="00BF551E"/>
    <w:p w:rsidR="00BF551E" w:rsidRDefault="00BF5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A4271E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1E" w:rsidRDefault="00BF551E">
      <w:r>
        <w:separator/>
      </w:r>
    </w:p>
    <w:p w:rsidR="00BF551E" w:rsidRDefault="00BF551E"/>
    <w:p w:rsidR="00BF551E" w:rsidRDefault="00BF551E"/>
    <w:p w:rsidR="00BF551E" w:rsidRDefault="00BF551E"/>
  </w:footnote>
  <w:footnote w:type="continuationSeparator" w:id="0">
    <w:p w:rsidR="00BF551E" w:rsidRDefault="00BF551E">
      <w:r>
        <w:continuationSeparator/>
      </w:r>
    </w:p>
    <w:p w:rsidR="00BF551E" w:rsidRDefault="00BF551E"/>
    <w:p w:rsidR="00BF551E" w:rsidRDefault="00BF551E"/>
    <w:p w:rsidR="00BF551E" w:rsidRDefault="00BF551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5pt;height:11.5pt" o:bullet="t">
        <v:imagedata r:id="rId1" o:title="mso10"/>
      </v:shape>
    </w:pict>
  </w:numPicBullet>
  <w:numPicBullet w:numPicBulletId="1">
    <w:pict>
      <v:shape id="_x0000_i1082" type="#_x0000_t75" style="width:9.5pt;height:9.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8B4755C"/>
    <w:multiLevelType w:val="hybridMultilevel"/>
    <w:tmpl w:val="5BE01F3A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5"/>
  </w:num>
  <w:num w:numId="19">
    <w:abstractNumId w:val="21"/>
  </w:num>
  <w:num w:numId="20">
    <w:abstractNumId w:val="35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FF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9F77A4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71E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51E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5FF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18B9C"/>
  <w15:docId w15:val="{C07066EB-466B-4B27-B90B-071CB575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</Template>
  <TotalTime>57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admin</dc:creator>
  <cp:lastModifiedBy>admin</cp:lastModifiedBy>
  <cp:revision>1</cp:revision>
  <cp:lastPrinted>2011-06-10T13:51:00Z</cp:lastPrinted>
  <dcterms:created xsi:type="dcterms:W3CDTF">2026-06-14T19:56:00Z</dcterms:created>
  <dcterms:modified xsi:type="dcterms:W3CDTF">2026-06-14T20:53:00Z</dcterms:modified>
</cp:coreProperties>
</file>